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X.secadef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capabilities definitions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XSTR.cs-sc (ex TR.cs-sc)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Collection of Security Concerns for extracting the Security Requirements for Cyber Security Reference Architecture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2024-09-04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XSTR.Suss-rev (ex TR.Suss-rev)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Successful use of security standards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X.gsm-cdc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Security Metrics for CDC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X.stie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Structured Threat Information Expression (STIE)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2024-09-05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X.taeii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Trusted Automated Exchange of Intelligence Information (TAEII)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2024-09-05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XSTR.verm (ex TR.verm)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Framework for verification of messages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2023-03-06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XSTR.st-iot (ex TR.st-iot)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Security threat scenarios in Internet of Things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2024-09-04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X.510 Amd.1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The Directory - Protocol specifications for secure operations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10:44:01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E7FDD5-1342-4D67-9ABD-7FE4793A9420}"/>
</file>

<file path=customXml/itemProps2.xml><?xml version="1.0" encoding="utf-8"?>
<ds:datastoreItem xmlns:ds="http://schemas.openxmlformats.org/officeDocument/2006/customXml" ds:itemID="{C8BCB3AA-2E25-424C-9F8B-10A495A01B65}"/>
</file>

<file path=customXml/itemProps3.xml><?xml version="1.0" encoding="utf-8"?>
<ds:datastoreItem xmlns:ds="http://schemas.openxmlformats.org/officeDocument/2006/customXml" ds:itemID="{889D85E0-3C41-4D30-8553-03C35BB32AE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